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FB" w:rsidRDefault="00AF01FB" w:rsidP="009D0B2A">
      <w:pPr>
        <w:spacing w:after="120" w:line="360" w:lineRule="auto"/>
        <w:jc w:val="center"/>
        <w:outlineLvl w:val="0"/>
        <w:rPr>
          <w:rFonts w:ascii="Times New Roman" w:eastAsia="楷体"/>
          <w:b/>
          <w:sz w:val="36"/>
          <w:szCs w:val="28"/>
        </w:rPr>
      </w:pPr>
      <w:bookmarkStart w:id="0" w:name="_Toc162712964"/>
      <w:r>
        <w:rPr>
          <w:rFonts w:ascii="Times New Roman" w:eastAsia="楷体" w:hint="eastAsia"/>
          <w:b/>
          <w:sz w:val="36"/>
          <w:szCs w:val="28"/>
        </w:rPr>
        <w:t>河南思维</w:t>
      </w:r>
      <w:r>
        <w:rPr>
          <w:rFonts w:ascii="Times New Roman" w:eastAsia="楷体"/>
          <w:b/>
          <w:sz w:val="36"/>
          <w:szCs w:val="28"/>
        </w:rPr>
        <w:t>自动化设备股份有限公司</w:t>
      </w:r>
    </w:p>
    <w:p w:rsidR="0058160C" w:rsidRPr="00B37639" w:rsidRDefault="0058160C" w:rsidP="0058160C">
      <w:pPr>
        <w:spacing w:after="240" w:line="360" w:lineRule="auto"/>
        <w:jc w:val="center"/>
        <w:outlineLvl w:val="0"/>
        <w:rPr>
          <w:rFonts w:ascii="Times New Roman" w:eastAsia="楷体"/>
          <w:b/>
          <w:sz w:val="36"/>
          <w:szCs w:val="28"/>
        </w:rPr>
      </w:pPr>
      <w:r w:rsidRPr="00B37639">
        <w:rPr>
          <w:rFonts w:ascii="Times New Roman" w:eastAsia="楷体"/>
          <w:b/>
          <w:sz w:val="36"/>
          <w:szCs w:val="28"/>
        </w:rPr>
        <w:t>2024-2026</w:t>
      </w:r>
      <w:r w:rsidRPr="00B37639">
        <w:rPr>
          <w:rFonts w:ascii="Times New Roman" w:eastAsia="楷体" w:hint="eastAsia"/>
          <w:b/>
          <w:sz w:val="36"/>
          <w:szCs w:val="28"/>
        </w:rPr>
        <w:t>年</w:t>
      </w:r>
      <w:r w:rsidRPr="00B37639">
        <w:rPr>
          <w:rFonts w:ascii="Times New Roman" w:eastAsia="楷体"/>
          <w:b/>
          <w:sz w:val="36"/>
          <w:szCs w:val="28"/>
        </w:rPr>
        <w:t>分红规划</w:t>
      </w:r>
      <w:bookmarkEnd w:id="0"/>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为了进一步完善河南</w:t>
      </w:r>
      <w:r>
        <w:rPr>
          <w:rFonts w:ascii="Times New Roman" w:eastAsia="楷体"/>
          <w:kern w:val="2"/>
          <w:sz w:val="24"/>
          <w:szCs w:val="24"/>
        </w:rPr>
        <w:t>思维自动化设备股份</w:t>
      </w:r>
      <w:r>
        <w:rPr>
          <w:rFonts w:ascii="Times New Roman" w:eastAsia="楷体" w:hint="eastAsia"/>
          <w:kern w:val="2"/>
          <w:sz w:val="24"/>
          <w:szCs w:val="24"/>
        </w:rPr>
        <w:t>有限</w:t>
      </w:r>
      <w:r>
        <w:rPr>
          <w:rFonts w:ascii="Times New Roman" w:eastAsia="楷体"/>
          <w:kern w:val="2"/>
          <w:sz w:val="24"/>
          <w:szCs w:val="24"/>
        </w:rPr>
        <w:t>公司（</w:t>
      </w:r>
      <w:r>
        <w:rPr>
          <w:rFonts w:ascii="Times New Roman" w:eastAsia="楷体" w:hint="eastAsia"/>
          <w:kern w:val="2"/>
          <w:sz w:val="24"/>
          <w:szCs w:val="24"/>
        </w:rPr>
        <w:t>以下</w:t>
      </w:r>
      <w:r>
        <w:rPr>
          <w:rFonts w:ascii="Times New Roman" w:eastAsia="楷体"/>
          <w:kern w:val="2"/>
          <w:sz w:val="24"/>
          <w:szCs w:val="24"/>
        </w:rPr>
        <w:t>简称</w:t>
      </w:r>
      <w:r w:rsidRPr="004A52F3">
        <w:rPr>
          <w:rFonts w:ascii="楷体" w:eastAsia="楷体" w:hAnsi="楷体"/>
          <w:kern w:val="2"/>
          <w:sz w:val="24"/>
          <w:szCs w:val="24"/>
        </w:rPr>
        <w:t>“</w:t>
      </w:r>
      <w:r w:rsidRPr="004A52F3">
        <w:rPr>
          <w:rFonts w:ascii="楷体" w:eastAsia="楷体" w:hAnsi="楷体" w:hint="eastAsia"/>
          <w:kern w:val="2"/>
          <w:sz w:val="24"/>
          <w:szCs w:val="24"/>
        </w:rPr>
        <w:t>公司</w:t>
      </w:r>
      <w:r w:rsidRPr="004A52F3">
        <w:rPr>
          <w:rFonts w:ascii="楷体" w:eastAsia="楷体" w:hAnsi="楷体"/>
          <w:kern w:val="2"/>
          <w:sz w:val="24"/>
          <w:szCs w:val="24"/>
        </w:rPr>
        <w:t>”</w:t>
      </w:r>
      <w:r>
        <w:rPr>
          <w:rFonts w:ascii="Times New Roman" w:eastAsia="楷体"/>
          <w:kern w:val="2"/>
          <w:sz w:val="24"/>
          <w:szCs w:val="24"/>
        </w:rPr>
        <w:t>）</w:t>
      </w:r>
      <w:r>
        <w:rPr>
          <w:rFonts w:ascii="Times New Roman" w:eastAsia="楷体" w:hint="eastAsia"/>
          <w:kern w:val="2"/>
          <w:sz w:val="24"/>
          <w:szCs w:val="24"/>
        </w:rPr>
        <w:t>的</w:t>
      </w:r>
      <w:r>
        <w:rPr>
          <w:rFonts w:ascii="Times New Roman" w:eastAsia="楷体"/>
          <w:kern w:val="2"/>
          <w:sz w:val="24"/>
          <w:szCs w:val="24"/>
        </w:rPr>
        <w:t>利润分配政策，建</w:t>
      </w:r>
      <w:bookmarkStart w:id="1" w:name="_GoBack"/>
      <w:bookmarkEnd w:id="1"/>
      <w:r>
        <w:rPr>
          <w:rFonts w:ascii="Times New Roman" w:eastAsia="楷体"/>
          <w:kern w:val="2"/>
          <w:sz w:val="24"/>
          <w:szCs w:val="24"/>
        </w:rPr>
        <w:t>立健全</w:t>
      </w:r>
      <w:r>
        <w:rPr>
          <w:rFonts w:ascii="Times New Roman" w:eastAsia="楷体" w:hint="eastAsia"/>
          <w:kern w:val="2"/>
          <w:sz w:val="24"/>
          <w:szCs w:val="24"/>
        </w:rPr>
        <w:t>科学、持续、稳定的分红决策和监督机制，积极回报股东，切实保护中小投资者的合法权益，引导投资者树立长期投资和理性投资理念，根据中国证监会《关于进一步落实上市公司现金分红有关事项的通知》《上市公司监管指引第</w:t>
      </w:r>
      <w:r>
        <w:rPr>
          <w:rFonts w:ascii="Times New Roman" w:eastAsia="楷体" w:hint="eastAsia"/>
          <w:kern w:val="2"/>
          <w:sz w:val="24"/>
          <w:szCs w:val="24"/>
        </w:rPr>
        <w:t>3</w:t>
      </w:r>
      <w:r>
        <w:rPr>
          <w:rFonts w:ascii="Times New Roman" w:eastAsia="楷体" w:hint="eastAsia"/>
          <w:kern w:val="2"/>
          <w:sz w:val="24"/>
          <w:szCs w:val="24"/>
        </w:rPr>
        <w:t>号—上市公司现金分红（</w:t>
      </w:r>
      <w:r>
        <w:rPr>
          <w:rFonts w:ascii="Times New Roman" w:eastAsia="楷体" w:hint="eastAsia"/>
          <w:kern w:val="2"/>
          <w:sz w:val="24"/>
          <w:szCs w:val="24"/>
        </w:rPr>
        <w:t>2023</w:t>
      </w:r>
      <w:r>
        <w:rPr>
          <w:rFonts w:ascii="Times New Roman" w:eastAsia="楷体" w:hint="eastAsia"/>
          <w:kern w:val="2"/>
          <w:sz w:val="24"/>
          <w:szCs w:val="24"/>
        </w:rPr>
        <w:t>年</w:t>
      </w:r>
      <w:r>
        <w:rPr>
          <w:rFonts w:ascii="Times New Roman" w:eastAsia="楷体"/>
          <w:kern w:val="2"/>
          <w:sz w:val="24"/>
          <w:szCs w:val="24"/>
        </w:rPr>
        <w:t>修订</w:t>
      </w:r>
      <w:r>
        <w:rPr>
          <w:rFonts w:ascii="Times New Roman" w:eastAsia="楷体" w:hint="eastAsia"/>
          <w:kern w:val="2"/>
          <w:sz w:val="24"/>
          <w:szCs w:val="24"/>
        </w:rPr>
        <w:t>）》《上海</w:t>
      </w:r>
      <w:r>
        <w:rPr>
          <w:rFonts w:ascii="Times New Roman" w:eastAsia="楷体"/>
          <w:kern w:val="2"/>
          <w:sz w:val="24"/>
          <w:szCs w:val="24"/>
        </w:rPr>
        <w:t>证券交易所</w:t>
      </w:r>
      <w:r>
        <w:rPr>
          <w:rFonts w:ascii="Times New Roman" w:eastAsia="楷体" w:hint="eastAsia"/>
          <w:kern w:val="2"/>
          <w:sz w:val="24"/>
          <w:szCs w:val="24"/>
        </w:rPr>
        <w:t>上市</w:t>
      </w:r>
      <w:r>
        <w:rPr>
          <w:rFonts w:ascii="Times New Roman" w:eastAsia="楷体"/>
          <w:kern w:val="2"/>
          <w:sz w:val="24"/>
          <w:szCs w:val="24"/>
        </w:rPr>
        <w:t>公司自律</w:t>
      </w:r>
      <w:r>
        <w:rPr>
          <w:rFonts w:ascii="Times New Roman" w:eastAsia="楷体" w:hint="eastAsia"/>
          <w:kern w:val="2"/>
          <w:sz w:val="24"/>
          <w:szCs w:val="24"/>
        </w:rPr>
        <w:t>监管</w:t>
      </w:r>
      <w:r>
        <w:rPr>
          <w:rFonts w:ascii="Times New Roman" w:eastAsia="楷体"/>
          <w:kern w:val="2"/>
          <w:sz w:val="24"/>
          <w:szCs w:val="24"/>
        </w:rPr>
        <w:t>指引</w:t>
      </w:r>
      <w:r>
        <w:rPr>
          <w:rFonts w:ascii="Times New Roman" w:eastAsia="楷体" w:hint="eastAsia"/>
          <w:kern w:val="2"/>
          <w:sz w:val="24"/>
          <w:szCs w:val="24"/>
        </w:rPr>
        <w:t>第</w:t>
      </w:r>
      <w:r>
        <w:rPr>
          <w:rFonts w:ascii="Times New Roman" w:eastAsia="楷体" w:hint="eastAsia"/>
          <w:kern w:val="2"/>
          <w:sz w:val="24"/>
          <w:szCs w:val="24"/>
        </w:rPr>
        <w:t>1</w:t>
      </w:r>
      <w:r>
        <w:rPr>
          <w:rFonts w:ascii="Times New Roman" w:eastAsia="楷体" w:hint="eastAsia"/>
          <w:kern w:val="2"/>
          <w:sz w:val="24"/>
          <w:szCs w:val="24"/>
        </w:rPr>
        <w:t>号—</w:t>
      </w:r>
      <w:r>
        <w:rPr>
          <w:rFonts w:ascii="Times New Roman" w:eastAsia="楷体"/>
          <w:kern w:val="2"/>
          <w:sz w:val="24"/>
          <w:szCs w:val="24"/>
        </w:rPr>
        <w:t>规范运作</w:t>
      </w:r>
      <w:r>
        <w:rPr>
          <w:rFonts w:ascii="Times New Roman" w:eastAsia="楷体" w:hint="eastAsia"/>
          <w:kern w:val="2"/>
          <w:sz w:val="24"/>
          <w:szCs w:val="24"/>
        </w:rPr>
        <w:t>（</w:t>
      </w:r>
      <w:r>
        <w:rPr>
          <w:rFonts w:ascii="Times New Roman" w:eastAsia="楷体" w:hint="eastAsia"/>
          <w:kern w:val="2"/>
          <w:sz w:val="24"/>
          <w:szCs w:val="24"/>
        </w:rPr>
        <w:t>2023</w:t>
      </w:r>
      <w:r>
        <w:rPr>
          <w:rFonts w:ascii="Times New Roman" w:eastAsia="楷体" w:hint="eastAsia"/>
          <w:kern w:val="2"/>
          <w:sz w:val="24"/>
          <w:szCs w:val="24"/>
        </w:rPr>
        <w:t>年</w:t>
      </w:r>
      <w:r>
        <w:rPr>
          <w:rFonts w:ascii="Times New Roman" w:eastAsia="楷体" w:hint="eastAsia"/>
          <w:kern w:val="2"/>
          <w:sz w:val="24"/>
          <w:szCs w:val="24"/>
        </w:rPr>
        <w:t>12</w:t>
      </w:r>
      <w:r>
        <w:rPr>
          <w:rFonts w:ascii="Times New Roman" w:eastAsia="楷体" w:hint="eastAsia"/>
          <w:kern w:val="2"/>
          <w:sz w:val="24"/>
          <w:szCs w:val="24"/>
        </w:rPr>
        <w:t>月</w:t>
      </w:r>
      <w:r>
        <w:rPr>
          <w:rFonts w:ascii="Times New Roman" w:eastAsia="楷体"/>
          <w:kern w:val="2"/>
          <w:sz w:val="24"/>
          <w:szCs w:val="24"/>
        </w:rPr>
        <w:t>修订</w:t>
      </w:r>
      <w:r>
        <w:rPr>
          <w:rFonts w:ascii="Times New Roman" w:eastAsia="楷体" w:hint="eastAsia"/>
          <w:kern w:val="2"/>
          <w:sz w:val="24"/>
          <w:szCs w:val="24"/>
        </w:rPr>
        <w:t>）》等相关文件的精神以及《公司章程》的规定，公司董事会特制定公司《</w:t>
      </w:r>
      <w:r>
        <w:rPr>
          <w:rFonts w:ascii="Times New Roman" w:eastAsia="楷体" w:hint="eastAsia"/>
          <w:kern w:val="2"/>
          <w:sz w:val="24"/>
          <w:szCs w:val="24"/>
        </w:rPr>
        <w:t>202</w:t>
      </w:r>
      <w:r>
        <w:rPr>
          <w:rFonts w:ascii="Times New Roman" w:eastAsia="楷体"/>
          <w:kern w:val="2"/>
          <w:sz w:val="24"/>
          <w:szCs w:val="24"/>
        </w:rPr>
        <w:t>4</w:t>
      </w:r>
      <w:r>
        <w:rPr>
          <w:rFonts w:ascii="Times New Roman" w:eastAsia="楷体" w:hint="eastAsia"/>
          <w:kern w:val="2"/>
          <w:sz w:val="24"/>
          <w:szCs w:val="24"/>
        </w:rPr>
        <w:t>年至</w:t>
      </w:r>
      <w:r>
        <w:rPr>
          <w:rFonts w:ascii="Times New Roman" w:eastAsia="楷体" w:hint="eastAsia"/>
          <w:kern w:val="2"/>
          <w:sz w:val="24"/>
          <w:szCs w:val="24"/>
        </w:rPr>
        <w:t>2026</w:t>
      </w:r>
      <w:r>
        <w:rPr>
          <w:rFonts w:ascii="Times New Roman" w:eastAsia="楷体" w:hint="eastAsia"/>
          <w:kern w:val="2"/>
          <w:sz w:val="24"/>
          <w:szCs w:val="24"/>
        </w:rPr>
        <w:t>年分红规划》（以下简称“分红规划”），具体内容如下：</w:t>
      </w:r>
    </w:p>
    <w:p w:rsidR="0058160C" w:rsidRDefault="0058160C" w:rsidP="0058160C">
      <w:pPr>
        <w:autoSpaceDE/>
        <w:autoSpaceDN/>
        <w:adjustRightInd/>
        <w:snapToGrid w:val="0"/>
        <w:spacing w:line="360" w:lineRule="auto"/>
        <w:ind w:firstLineChars="200" w:firstLine="482"/>
        <w:jc w:val="both"/>
        <w:rPr>
          <w:rFonts w:ascii="Times New Roman" w:eastAsia="楷体"/>
          <w:b/>
          <w:kern w:val="2"/>
          <w:sz w:val="24"/>
          <w:szCs w:val="24"/>
        </w:rPr>
      </w:pPr>
      <w:bookmarkStart w:id="2" w:name="_Toc518935722"/>
      <w:bookmarkStart w:id="3" w:name="_Toc519006228"/>
      <w:bookmarkStart w:id="4" w:name="_Toc520226128"/>
      <w:r>
        <w:rPr>
          <w:rFonts w:ascii="Times New Roman" w:eastAsia="楷体" w:hint="eastAsia"/>
          <w:b/>
          <w:kern w:val="2"/>
          <w:sz w:val="24"/>
          <w:szCs w:val="24"/>
        </w:rPr>
        <w:t>一、制定原则</w:t>
      </w:r>
      <w:bookmarkEnd w:id="2"/>
      <w:bookmarkEnd w:id="3"/>
      <w:bookmarkEnd w:id="4"/>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本</w:t>
      </w:r>
      <w:r>
        <w:rPr>
          <w:rFonts w:ascii="Times New Roman" w:eastAsia="楷体"/>
          <w:kern w:val="2"/>
          <w:sz w:val="24"/>
          <w:szCs w:val="24"/>
        </w:rPr>
        <w:t>规划的</w:t>
      </w:r>
      <w:r>
        <w:rPr>
          <w:rFonts w:ascii="Times New Roman" w:eastAsia="楷体" w:hint="eastAsia"/>
          <w:kern w:val="2"/>
          <w:sz w:val="24"/>
          <w:szCs w:val="24"/>
        </w:rPr>
        <w:t>制定</w:t>
      </w:r>
      <w:r>
        <w:rPr>
          <w:rFonts w:ascii="Times New Roman" w:eastAsia="楷体"/>
          <w:kern w:val="2"/>
          <w:sz w:val="24"/>
          <w:szCs w:val="24"/>
        </w:rPr>
        <w:t>应符合</w:t>
      </w:r>
      <w:r>
        <w:rPr>
          <w:rFonts w:ascii="Times New Roman" w:eastAsia="楷体" w:hint="eastAsia"/>
          <w:kern w:val="2"/>
          <w:sz w:val="24"/>
          <w:szCs w:val="24"/>
        </w:rPr>
        <w:t>《公司法》等相关法律法规和《公司章程》中利润分配相关条款的规定，在保证公司正常经营发展的前提下，充分考虑和听取公司股东（尤其是中小股东）、独立董事和监事的意见，坚持优先采取现金分红的利润分配方式，采取现金、股票或现金与股票相结合的方式分配股利，兼顾公司当年的实际经营情况和可持续发展的需要，确定合理的利润分配方案，保持公司利润分配政策的连续性和稳定性。</w:t>
      </w:r>
    </w:p>
    <w:p w:rsidR="0058160C" w:rsidRDefault="0058160C" w:rsidP="0058160C">
      <w:pPr>
        <w:autoSpaceDE/>
        <w:autoSpaceDN/>
        <w:adjustRightInd/>
        <w:snapToGrid w:val="0"/>
        <w:spacing w:line="360" w:lineRule="auto"/>
        <w:ind w:firstLineChars="200" w:firstLine="482"/>
        <w:jc w:val="both"/>
        <w:rPr>
          <w:rFonts w:ascii="Times New Roman" w:eastAsia="楷体"/>
          <w:b/>
          <w:kern w:val="2"/>
          <w:sz w:val="24"/>
          <w:szCs w:val="24"/>
        </w:rPr>
      </w:pPr>
      <w:bookmarkStart w:id="5" w:name="_Toc519006229"/>
      <w:bookmarkStart w:id="6" w:name="_Toc520226129"/>
      <w:bookmarkStart w:id="7" w:name="_Toc518935723"/>
      <w:r>
        <w:rPr>
          <w:rFonts w:ascii="Times New Roman" w:eastAsia="楷体" w:hint="eastAsia"/>
          <w:b/>
          <w:kern w:val="2"/>
          <w:sz w:val="24"/>
          <w:szCs w:val="24"/>
        </w:rPr>
        <w:t>二、制定时考虑的因素</w:t>
      </w:r>
      <w:bookmarkEnd w:id="5"/>
      <w:bookmarkEnd w:id="6"/>
      <w:bookmarkEnd w:id="7"/>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本规划着眼于公司的长远和可持续发展，在综合分析公司目前经营发展的实际情况、股东</w:t>
      </w:r>
      <w:r>
        <w:rPr>
          <w:rFonts w:ascii="Times New Roman" w:eastAsia="楷体"/>
          <w:kern w:val="2"/>
          <w:sz w:val="24"/>
          <w:szCs w:val="24"/>
        </w:rPr>
        <w:t>要求和</w:t>
      </w:r>
      <w:r>
        <w:rPr>
          <w:rFonts w:ascii="Times New Roman" w:eastAsia="楷体" w:hint="eastAsia"/>
          <w:kern w:val="2"/>
          <w:sz w:val="24"/>
          <w:szCs w:val="24"/>
        </w:rPr>
        <w:t>意愿</w:t>
      </w:r>
      <w:r>
        <w:rPr>
          <w:rFonts w:ascii="Times New Roman" w:eastAsia="楷体"/>
          <w:kern w:val="2"/>
          <w:sz w:val="24"/>
          <w:szCs w:val="24"/>
        </w:rPr>
        <w:t>、社会资金成本、外部融资环境等因素的基础上，</w:t>
      </w:r>
      <w:r>
        <w:rPr>
          <w:rFonts w:ascii="Times New Roman" w:eastAsia="楷体" w:hint="eastAsia"/>
          <w:kern w:val="2"/>
          <w:sz w:val="24"/>
          <w:szCs w:val="24"/>
        </w:rPr>
        <w:t>充分</w:t>
      </w:r>
      <w:r>
        <w:rPr>
          <w:rFonts w:ascii="Times New Roman" w:eastAsia="楷体"/>
          <w:kern w:val="2"/>
          <w:sz w:val="24"/>
          <w:szCs w:val="24"/>
        </w:rPr>
        <w:t>考虑公司目前及未来盈利规模</w:t>
      </w:r>
      <w:r>
        <w:rPr>
          <w:rFonts w:ascii="Times New Roman" w:eastAsia="楷体" w:hint="eastAsia"/>
          <w:kern w:val="2"/>
          <w:sz w:val="24"/>
          <w:szCs w:val="24"/>
        </w:rPr>
        <w:t>、</w:t>
      </w:r>
      <w:r>
        <w:rPr>
          <w:rFonts w:ascii="Times New Roman" w:eastAsia="楷体"/>
          <w:kern w:val="2"/>
          <w:sz w:val="24"/>
          <w:szCs w:val="24"/>
        </w:rPr>
        <w:t>现金流量状况、发展所处阶段</w:t>
      </w:r>
      <w:r>
        <w:rPr>
          <w:rFonts w:ascii="Times New Roman" w:eastAsia="楷体" w:hint="eastAsia"/>
          <w:kern w:val="2"/>
          <w:sz w:val="24"/>
          <w:szCs w:val="24"/>
        </w:rPr>
        <w:t>、</w:t>
      </w:r>
      <w:r>
        <w:rPr>
          <w:rFonts w:ascii="Times New Roman" w:eastAsia="楷体"/>
          <w:kern w:val="2"/>
          <w:sz w:val="24"/>
          <w:szCs w:val="24"/>
        </w:rPr>
        <w:t>项目投资资金需求、银行信贷及</w:t>
      </w:r>
      <w:r>
        <w:rPr>
          <w:rFonts w:ascii="Times New Roman" w:eastAsia="楷体" w:hint="eastAsia"/>
          <w:kern w:val="2"/>
          <w:sz w:val="24"/>
          <w:szCs w:val="24"/>
        </w:rPr>
        <w:t>债权</w:t>
      </w:r>
      <w:r>
        <w:rPr>
          <w:rFonts w:ascii="Times New Roman" w:eastAsia="楷体"/>
          <w:kern w:val="2"/>
          <w:sz w:val="24"/>
          <w:szCs w:val="24"/>
        </w:rPr>
        <w:t>融资环境等情况，细化分红</w:t>
      </w:r>
      <w:r>
        <w:rPr>
          <w:rFonts w:ascii="Times New Roman" w:eastAsia="楷体" w:hint="eastAsia"/>
          <w:kern w:val="2"/>
          <w:sz w:val="24"/>
          <w:szCs w:val="24"/>
        </w:rPr>
        <w:t>回报</w:t>
      </w:r>
      <w:r>
        <w:rPr>
          <w:rFonts w:ascii="Times New Roman" w:eastAsia="楷体"/>
          <w:kern w:val="2"/>
          <w:sz w:val="24"/>
          <w:szCs w:val="24"/>
        </w:rPr>
        <w:t>规划，</w:t>
      </w:r>
      <w:r>
        <w:rPr>
          <w:rFonts w:ascii="Times New Roman" w:eastAsia="楷体" w:hint="eastAsia"/>
          <w:kern w:val="2"/>
          <w:sz w:val="24"/>
          <w:szCs w:val="24"/>
        </w:rPr>
        <w:t>建立</w:t>
      </w:r>
      <w:r>
        <w:rPr>
          <w:rFonts w:ascii="Times New Roman" w:eastAsia="楷体"/>
          <w:kern w:val="2"/>
          <w:sz w:val="24"/>
          <w:szCs w:val="24"/>
        </w:rPr>
        <w:t>对投资者</w:t>
      </w:r>
      <w:r>
        <w:rPr>
          <w:rFonts w:ascii="Times New Roman" w:eastAsia="楷体" w:hint="eastAsia"/>
          <w:kern w:val="2"/>
          <w:sz w:val="24"/>
          <w:szCs w:val="24"/>
        </w:rPr>
        <w:t>持续</w:t>
      </w:r>
      <w:r>
        <w:rPr>
          <w:rFonts w:ascii="Times New Roman" w:eastAsia="楷体"/>
          <w:kern w:val="2"/>
          <w:sz w:val="24"/>
          <w:szCs w:val="24"/>
        </w:rPr>
        <w:t>、</w:t>
      </w:r>
      <w:r>
        <w:rPr>
          <w:rFonts w:ascii="Times New Roman" w:eastAsia="楷体" w:hint="eastAsia"/>
          <w:kern w:val="2"/>
          <w:sz w:val="24"/>
          <w:szCs w:val="24"/>
        </w:rPr>
        <w:t>稳定</w:t>
      </w:r>
      <w:r>
        <w:rPr>
          <w:rFonts w:ascii="Times New Roman" w:eastAsia="楷体"/>
          <w:kern w:val="2"/>
          <w:sz w:val="24"/>
          <w:szCs w:val="24"/>
        </w:rPr>
        <w:t>、</w:t>
      </w:r>
      <w:r>
        <w:rPr>
          <w:rFonts w:ascii="Times New Roman" w:eastAsia="楷体" w:hint="eastAsia"/>
          <w:kern w:val="2"/>
          <w:sz w:val="24"/>
          <w:szCs w:val="24"/>
        </w:rPr>
        <w:t>科学</w:t>
      </w:r>
      <w:r>
        <w:rPr>
          <w:rFonts w:ascii="Times New Roman" w:eastAsia="楷体"/>
          <w:kern w:val="2"/>
          <w:sz w:val="24"/>
          <w:szCs w:val="24"/>
        </w:rPr>
        <w:t>的回报机制，</w:t>
      </w:r>
      <w:r>
        <w:rPr>
          <w:rFonts w:ascii="Times New Roman" w:eastAsia="楷体" w:hint="eastAsia"/>
          <w:kern w:val="2"/>
          <w:sz w:val="24"/>
          <w:szCs w:val="24"/>
        </w:rPr>
        <w:t>从而对利润分配作出制度性安排，以保证利润分配政策的连续性和稳定性。</w:t>
      </w:r>
    </w:p>
    <w:p w:rsidR="0058160C" w:rsidRDefault="0058160C" w:rsidP="0058160C">
      <w:pPr>
        <w:autoSpaceDE/>
        <w:autoSpaceDN/>
        <w:adjustRightInd/>
        <w:snapToGrid w:val="0"/>
        <w:spacing w:line="360" w:lineRule="auto"/>
        <w:ind w:firstLineChars="200" w:firstLine="482"/>
        <w:jc w:val="both"/>
        <w:rPr>
          <w:rFonts w:ascii="Times New Roman" w:eastAsia="楷体"/>
          <w:b/>
          <w:kern w:val="2"/>
          <w:sz w:val="24"/>
          <w:szCs w:val="24"/>
        </w:rPr>
      </w:pPr>
      <w:bookmarkStart w:id="8" w:name="_Toc518935724"/>
      <w:bookmarkStart w:id="9" w:name="_Toc519006230"/>
      <w:bookmarkStart w:id="10" w:name="_Toc520226130"/>
      <w:r>
        <w:rPr>
          <w:rFonts w:ascii="Times New Roman" w:eastAsia="楷体" w:hint="eastAsia"/>
          <w:b/>
          <w:kern w:val="2"/>
          <w:sz w:val="24"/>
          <w:szCs w:val="24"/>
        </w:rPr>
        <w:t>三、未来三年（</w:t>
      </w:r>
      <w:r>
        <w:rPr>
          <w:rFonts w:ascii="Times New Roman" w:eastAsia="楷体" w:hint="eastAsia"/>
          <w:b/>
          <w:kern w:val="2"/>
          <w:sz w:val="24"/>
          <w:szCs w:val="24"/>
        </w:rPr>
        <w:t>202</w:t>
      </w:r>
      <w:r>
        <w:rPr>
          <w:rFonts w:ascii="Times New Roman" w:eastAsia="楷体"/>
          <w:b/>
          <w:kern w:val="2"/>
          <w:sz w:val="24"/>
          <w:szCs w:val="24"/>
        </w:rPr>
        <w:t>4</w:t>
      </w:r>
      <w:r>
        <w:rPr>
          <w:rFonts w:ascii="Times New Roman" w:eastAsia="楷体" w:hint="eastAsia"/>
          <w:b/>
          <w:kern w:val="2"/>
          <w:sz w:val="24"/>
          <w:szCs w:val="24"/>
        </w:rPr>
        <w:t>年～</w:t>
      </w:r>
      <w:r>
        <w:rPr>
          <w:rFonts w:ascii="Times New Roman" w:eastAsia="楷体" w:hint="eastAsia"/>
          <w:b/>
          <w:kern w:val="2"/>
          <w:sz w:val="24"/>
          <w:szCs w:val="24"/>
        </w:rPr>
        <w:t>202</w:t>
      </w:r>
      <w:r>
        <w:rPr>
          <w:rFonts w:ascii="Times New Roman" w:eastAsia="楷体"/>
          <w:b/>
          <w:kern w:val="2"/>
          <w:sz w:val="24"/>
          <w:szCs w:val="24"/>
        </w:rPr>
        <w:t>6</w:t>
      </w:r>
      <w:r>
        <w:rPr>
          <w:rFonts w:ascii="Times New Roman" w:eastAsia="楷体" w:hint="eastAsia"/>
          <w:b/>
          <w:kern w:val="2"/>
          <w:sz w:val="24"/>
          <w:szCs w:val="24"/>
        </w:rPr>
        <w:t>年）分红规划</w:t>
      </w:r>
      <w:bookmarkEnd w:id="8"/>
      <w:bookmarkEnd w:id="9"/>
      <w:bookmarkEnd w:id="10"/>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（一）利润</w:t>
      </w:r>
      <w:r>
        <w:rPr>
          <w:rFonts w:ascii="Times New Roman" w:eastAsia="楷体"/>
          <w:kern w:val="2"/>
          <w:sz w:val="24"/>
          <w:szCs w:val="24"/>
        </w:rPr>
        <w:t>分配的形式：</w:t>
      </w:r>
      <w:r>
        <w:rPr>
          <w:rFonts w:ascii="Times New Roman" w:eastAsia="楷体" w:hint="eastAsia"/>
          <w:kern w:val="2"/>
          <w:sz w:val="24"/>
          <w:szCs w:val="24"/>
        </w:rPr>
        <w:t>公司可采用现金、股票或者现金与股票相结合或者法律、法规允许的其他方式分配股利。并优先考虑采用现金分红方式进行利润分配。利润</w:t>
      </w:r>
      <w:r>
        <w:rPr>
          <w:rFonts w:ascii="Times New Roman" w:eastAsia="楷体"/>
          <w:kern w:val="2"/>
          <w:sz w:val="24"/>
          <w:szCs w:val="24"/>
        </w:rPr>
        <w:t>分配不得超过累计可分配利润的范围，不</w:t>
      </w:r>
      <w:r>
        <w:rPr>
          <w:rFonts w:ascii="Times New Roman" w:eastAsia="楷体" w:hint="eastAsia"/>
          <w:kern w:val="2"/>
          <w:sz w:val="24"/>
          <w:szCs w:val="24"/>
        </w:rPr>
        <w:t>得</w:t>
      </w:r>
      <w:r>
        <w:rPr>
          <w:rFonts w:ascii="Times New Roman" w:eastAsia="楷体"/>
          <w:kern w:val="2"/>
          <w:sz w:val="24"/>
          <w:szCs w:val="24"/>
        </w:rPr>
        <w:t>损害公司持续经营能力。</w:t>
      </w:r>
      <w:r>
        <w:rPr>
          <w:rFonts w:ascii="Times New Roman" w:eastAsia="楷体" w:hint="eastAsia"/>
          <w:kern w:val="2"/>
          <w:sz w:val="24"/>
          <w:szCs w:val="24"/>
        </w:rPr>
        <w:t>在</w:t>
      </w:r>
      <w:r>
        <w:rPr>
          <w:rFonts w:ascii="Times New Roman" w:eastAsia="楷体"/>
          <w:kern w:val="2"/>
          <w:sz w:val="24"/>
          <w:szCs w:val="24"/>
        </w:rPr>
        <w:lastRenderedPageBreak/>
        <w:t>有条件的情况下，公司可以进行中期利润分配</w:t>
      </w:r>
      <w:r>
        <w:rPr>
          <w:rFonts w:ascii="Times New Roman" w:eastAsia="楷体" w:hint="eastAsia"/>
          <w:kern w:val="2"/>
          <w:sz w:val="24"/>
          <w:szCs w:val="24"/>
        </w:rPr>
        <w:t>。</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为保持股本扩张与业绩增长相适应，在确保足额现金股利分配、公司股本规模和股权结构合理的前提下，公司可采用股票股利方式进行利润分配。采用股票股利进行利润分配的，应当具有公司成长性、每股净资产的摊薄等真实合理因素。</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（二）公司现金分红的具体条件和比例：在公司当年盈利或累计未分配利润为正数，在保证公司能够持续经营和长期发展的前提下，如公司无重大资金支出安排，</w:t>
      </w:r>
      <w:r w:rsidRPr="0058160C">
        <w:rPr>
          <w:rFonts w:ascii="Times New Roman" w:eastAsia="楷体" w:hint="eastAsia"/>
          <w:color w:val="000000" w:themeColor="text1"/>
          <w:kern w:val="2"/>
          <w:sz w:val="24"/>
          <w:szCs w:val="24"/>
        </w:rPr>
        <w:t>公司每年以现金方式分配的利润不少于当年实现的可供分配利润的</w:t>
      </w:r>
      <w:r w:rsidRPr="0058160C">
        <w:rPr>
          <w:rFonts w:ascii="Times New Roman" w:eastAsia="楷体" w:hint="eastAsia"/>
          <w:color w:val="000000" w:themeColor="text1"/>
          <w:kern w:val="2"/>
          <w:sz w:val="24"/>
          <w:szCs w:val="24"/>
        </w:rPr>
        <w:t>4</w:t>
      </w:r>
      <w:r w:rsidRPr="0058160C">
        <w:rPr>
          <w:rFonts w:ascii="Times New Roman" w:eastAsia="楷体"/>
          <w:color w:val="000000" w:themeColor="text1"/>
          <w:kern w:val="2"/>
          <w:sz w:val="24"/>
          <w:szCs w:val="24"/>
        </w:rPr>
        <w:t>0</w:t>
      </w:r>
      <w:r w:rsidRPr="0058160C">
        <w:rPr>
          <w:rFonts w:ascii="Times New Roman" w:eastAsia="楷体" w:hint="eastAsia"/>
          <w:color w:val="000000" w:themeColor="text1"/>
          <w:kern w:val="2"/>
          <w:sz w:val="24"/>
          <w:szCs w:val="24"/>
        </w:rPr>
        <w:t>%</w:t>
      </w:r>
      <w:r w:rsidRPr="0058160C">
        <w:rPr>
          <w:rFonts w:ascii="Times New Roman" w:eastAsia="楷体" w:hint="eastAsia"/>
          <w:color w:val="000000" w:themeColor="text1"/>
          <w:kern w:val="2"/>
          <w:sz w:val="24"/>
          <w:szCs w:val="24"/>
        </w:rPr>
        <w:t>，</w:t>
      </w:r>
      <w:r>
        <w:rPr>
          <w:rFonts w:ascii="Times New Roman" w:eastAsia="楷体" w:hint="eastAsia"/>
          <w:kern w:val="2"/>
          <w:sz w:val="24"/>
          <w:szCs w:val="24"/>
        </w:rPr>
        <w:t>具体分配比例由公司董事会根据公司实际经营状况和中国证监会的有关规定拟定，并提交股东大会审议批准。</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（三）公司董事会应当综合考虑所处行业特点、发展阶段、自身经营模式、盈利水平以及是否有重大资金支出安排等因素，区分下列情形，并按照《公司章程》规定的程序，提出差异化的现金分红政策：</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1</w:t>
      </w:r>
      <w:r>
        <w:rPr>
          <w:rFonts w:ascii="Times New Roman" w:eastAsia="楷体" w:hint="eastAsia"/>
          <w:kern w:val="2"/>
          <w:sz w:val="24"/>
          <w:szCs w:val="24"/>
        </w:rPr>
        <w:t>、公司发展阶段属成熟期且无重大资金支出安排的，进行利润分配时，现金分红在本次利润分配中所占比例最低应达到</w:t>
      </w:r>
      <w:r>
        <w:rPr>
          <w:rFonts w:ascii="Times New Roman" w:eastAsia="楷体" w:hint="eastAsia"/>
          <w:kern w:val="2"/>
          <w:sz w:val="24"/>
          <w:szCs w:val="24"/>
        </w:rPr>
        <w:t>80%</w:t>
      </w:r>
      <w:r>
        <w:rPr>
          <w:rFonts w:ascii="Times New Roman" w:eastAsia="楷体" w:hint="eastAsia"/>
          <w:kern w:val="2"/>
          <w:sz w:val="24"/>
          <w:szCs w:val="24"/>
        </w:rPr>
        <w:t>；</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2</w:t>
      </w:r>
      <w:r>
        <w:rPr>
          <w:rFonts w:ascii="Times New Roman" w:eastAsia="楷体" w:hint="eastAsia"/>
          <w:kern w:val="2"/>
          <w:sz w:val="24"/>
          <w:szCs w:val="24"/>
        </w:rPr>
        <w:t>、公司发展阶段属成熟期且有重大资金支出安排的，进行利润分配时，现金分红在本次利润分配中所占比例最低应达到</w:t>
      </w:r>
      <w:r>
        <w:rPr>
          <w:rFonts w:ascii="Times New Roman" w:eastAsia="楷体" w:hint="eastAsia"/>
          <w:kern w:val="2"/>
          <w:sz w:val="24"/>
          <w:szCs w:val="24"/>
        </w:rPr>
        <w:t>40%</w:t>
      </w:r>
      <w:r>
        <w:rPr>
          <w:rFonts w:ascii="Times New Roman" w:eastAsia="楷体" w:hint="eastAsia"/>
          <w:kern w:val="2"/>
          <w:sz w:val="24"/>
          <w:szCs w:val="24"/>
        </w:rPr>
        <w:t>；</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3</w:t>
      </w:r>
      <w:r>
        <w:rPr>
          <w:rFonts w:ascii="Times New Roman" w:eastAsia="楷体" w:hint="eastAsia"/>
          <w:kern w:val="2"/>
          <w:sz w:val="24"/>
          <w:szCs w:val="24"/>
        </w:rPr>
        <w:t>、公司发展阶段属成长期且有重大资金支出安排的，进行利润分配时，现金分红在本次利润分配中所占比例最低应达到</w:t>
      </w:r>
      <w:r>
        <w:rPr>
          <w:rFonts w:ascii="Times New Roman" w:eastAsia="楷体" w:hint="eastAsia"/>
          <w:kern w:val="2"/>
          <w:sz w:val="24"/>
          <w:szCs w:val="24"/>
        </w:rPr>
        <w:t>20%</w:t>
      </w:r>
      <w:r>
        <w:rPr>
          <w:rFonts w:ascii="Times New Roman" w:eastAsia="楷体" w:hint="eastAsia"/>
          <w:kern w:val="2"/>
          <w:sz w:val="24"/>
          <w:szCs w:val="24"/>
        </w:rPr>
        <w:t>；</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公司发展阶段不易区分但有重大资金支出安排的，可以按照前项规定处理。</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sidRPr="00287EC5">
        <w:rPr>
          <w:rFonts w:ascii="Times New Roman" w:eastAsia="楷体" w:hint="eastAsia"/>
          <w:kern w:val="2"/>
          <w:sz w:val="24"/>
          <w:szCs w:val="24"/>
        </w:rPr>
        <w:t>上述重大资金支出是指，公司拟对外投资、收购资产或者购买设备的累计支出达到或者超过公司最近一期经审计的合并报表净资产的</w:t>
      </w:r>
      <w:r w:rsidRPr="00287EC5">
        <w:rPr>
          <w:rFonts w:ascii="Times New Roman" w:eastAsia="楷体"/>
          <w:kern w:val="2"/>
          <w:sz w:val="24"/>
          <w:szCs w:val="24"/>
        </w:rPr>
        <w:t>30%</w:t>
      </w:r>
      <w:r w:rsidRPr="00287EC5">
        <w:rPr>
          <w:rFonts w:ascii="Times New Roman" w:eastAsia="楷体" w:hint="eastAsia"/>
          <w:kern w:val="2"/>
          <w:sz w:val="24"/>
          <w:szCs w:val="24"/>
        </w:rPr>
        <w:t>，且超过</w:t>
      </w:r>
      <w:r w:rsidRPr="00287EC5">
        <w:rPr>
          <w:rFonts w:ascii="Times New Roman" w:eastAsia="楷体"/>
          <w:kern w:val="2"/>
          <w:sz w:val="24"/>
          <w:szCs w:val="24"/>
        </w:rPr>
        <w:t>5000</w:t>
      </w:r>
      <w:r w:rsidRPr="00287EC5">
        <w:rPr>
          <w:rFonts w:ascii="Times New Roman" w:eastAsia="楷体" w:hint="eastAsia"/>
          <w:kern w:val="2"/>
          <w:sz w:val="24"/>
          <w:szCs w:val="24"/>
        </w:rPr>
        <w:t>万元。</w:t>
      </w:r>
    </w:p>
    <w:p w:rsidR="0058160C" w:rsidRDefault="0058160C" w:rsidP="0058160C">
      <w:pPr>
        <w:autoSpaceDE/>
        <w:autoSpaceDN/>
        <w:adjustRightInd/>
        <w:snapToGrid w:val="0"/>
        <w:spacing w:line="360" w:lineRule="auto"/>
        <w:ind w:firstLineChars="200" w:firstLine="482"/>
        <w:jc w:val="both"/>
        <w:rPr>
          <w:rFonts w:ascii="Times New Roman" w:eastAsia="楷体"/>
          <w:b/>
          <w:kern w:val="2"/>
          <w:sz w:val="24"/>
          <w:szCs w:val="24"/>
        </w:rPr>
      </w:pPr>
      <w:bookmarkStart w:id="11" w:name="_Toc518935725"/>
      <w:bookmarkStart w:id="12" w:name="_Toc519006231"/>
      <w:bookmarkStart w:id="13" w:name="_Toc520226131"/>
      <w:r>
        <w:rPr>
          <w:rFonts w:ascii="Times New Roman" w:eastAsia="楷体" w:hint="eastAsia"/>
          <w:b/>
          <w:kern w:val="2"/>
          <w:sz w:val="24"/>
          <w:szCs w:val="24"/>
        </w:rPr>
        <w:t>四、分红规划的制定周期和相关决策、调整机制</w:t>
      </w:r>
      <w:bookmarkEnd w:id="11"/>
      <w:bookmarkEnd w:id="12"/>
      <w:bookmarkEnd w:id="13"/>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（一）公司至少每三年重新审阅一次分红规划，根据公司状况、股东特别是中小股东、独立董事和监事的意见，对公司正在实施的利润分配政策作出适当且必要的调整，以确定该时段的股东分红规划。</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二）公司董事会应结合《公司章程》的规定、公司盈利情况及资金需求等提出合理的利润分配预案。董事会审议现金分红具体方案时，应当认真研究和论证公司现金分红的时机、条件和最低比例等事宜，听取股东（特别是公众投资者）、独立董事和监事的意见，独立</w:t>
      </w:r>
      <w:r>
        <w:rPr>
          <w:rFonts w:ascii="Times New Roman" w:eastAsia="楷体"/>
          <w:kern w:val="2"/>
          <w:sz w:val="24"/>
          <w:szCs w:val="24"/>
        </w:rPr>
        <w:t>董事认为现金分红具体方案可能</w:t>
      </w:r>
      <w:r>
        <w:rPr>
          <w:rFonts w:ascii="Times New Roman" w:eastAsia="楷体" w:hint="eastAsia"/>
          <w:kern w:val="2"/>
          <w:sz w:val="24"/>
          <w:szCs w:val="24"/>
        </w:rPr>
        <w:t>损害</w:t>
      </w:r>
      <w:r>
        <w:rPr>
          <w:rFonts w:ascii="Times New Roman" w:eastAsia="楷体"/>
          <w:kern w:val="2"/>
          <w:sz w:val="24"/>
          <w:szCs w:val="24"/>
        </w:rPr>
        <w:t>公司或者中小</w:t>
      </w:r>
      <w:r>
        <w:rPr>
          <w:rFonts w:ascii="Times New Roman" w:eastAsia="楷体"/>
          <w:kern w:val="2"/>
          <w:sz w:val="24"/>
          <w:szCs w:val="24"/>
        </w:rPr>
        <w:lastRenderedPageBreak/>
        <w:t>股东权益的，有权</w:t>
      </w:r>
      <w:r>
        <w:rPr>
          <w:rFonts w:ascii="Times New Roman" w:eastAsia="楷体" w:hint="eastAsia"/>
          <w:kern w:val="2"/>
          <w:sz w:val="24"/>
          <w:szCs w:val="24"/>
        </w:rPr>
        <w:t>发表</w:t>
      </w:r>
      <w:r>
        <w:rPr>
          <w:rFonts w:ascii="Times New Roman" w:eastAsia="楷体"/>
          <w:kern w:val="2"/>
          <w:sz w:val="24"/>
          <w:szCs w:val="24"/>
        </w:rPr>
        <w:t>独立意见</w:t>
      </w:r>
      <w:r>
        <w:rPr>
          <w:rFonts w:ascii="Times New Roman" w:eastAsia="楷体" w:hint="eastAsia"/>
          <w:kern w:val="2"/>
          <w:sz w:val="24"/>
          <w:szCs w:val="24"/>
        </w:rPr>
        <w:t>。董事会</w:t>
      </w:r>
      <w:r>
        <w:rPr>
          <w:rFonts w:ascii="Times New Roman" w:eastAsia="楷体"/>
          <w:kern w:val="2"/>
          <w:sz w:val="24"/>
          <w:szCs w:val="24"/>
        </w:rPr>
        <w:t>对独立董事的意见未采纳或者未完全采纳的，应当在董事会决议中记载独立董事的意见及未采纳的具体理由，并披露</w:t>
      </w:r>
      <w:r>
        <w:rPr>
          <w:rFonts w:ascii="Times New Roman" w:eastAsia="楷体" w:hint="eastAsia"/>
          <w:kern w:val="2"/>
          <w:sz w:val="24"/>
          <w:szCs w:val="24"/>
        </w:rPr>
        <w:t>。</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独立董事可以征集中小股东的意见，提出分红提案，并直接提交董事会审议。</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（三）公司董事会审议通过的利润分配预案，应当提交公司股东大会进行审议。股东大会对现金分红具体方案进行审议时，应当采取提供网络投票等方式为中小股东参加股东大会提供便利。</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股东大会对现金分红具体方案进行审议前，应当通过接听</w:t>
      </w:r>
      <w:r>
        <w:rPr>
          <w:rFonts w:ascii="Times New Roman" w:eastAsia="楷体"/>
          <w:kern w:val="2"/>
          <w:sz w:val="24"/>
          <w:szCs w:val="24"/>
        </w:rPr>
        <w:t>投资者电话、公司</w:t>
      </w:r>
      <w:r>
        <w:rPr>
          <w:rFonts w:ascii="Times New Roman" w:eastAsia="楷体" w:hint="eastAsia"/>
          <w:kern w:val="2"/>
          <w:sz w:val="24"/>
          <w:szCs w:val="24"/>
        </w:rPr>
        <w:t>公共</w:t>
      </w:r>
      <w:r>
        <w:rPr>
          <w:rFonts w:ascii="Times New Roman" w:eastAsia="楷体"/>
          <w:kern w:val="2"/>
          <w:sz w:val="24"/>
          <w:szCs w:val="24"/>
        </w:rPr>
        <w:t>邮箱、网络平台、召开投资者见面会等</w:t>
      </w:r>
      <w:r>
        <w:rPr>
          <w:rFonts w:ascii="Times New Roman" w:eastAsia="楷体" w:hint="eastAsia"/>
          <w:kern w:val="2"/>
          <w:sz w:val="24"/>
          <w:szCs w:val="24"/>
        </w:rPr>
        <w:t>多种渠道主动与股东特别是中小股东进行沟通和交流，充分听取中小股东的意见和诉求，并及时答复中小股东关心的问题。</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四）若年度实现盈利而未提出现金利润分配预案的，公司董事会应就不进行现金分红的具体原因、公司留存收益的确切用途及预计投资收益等事项进行专项说明，经独立董事发表明确意见后提交股东大会审议，并在公司指定媒体上进行披露。</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五）公司因外部经营环境或者自身经营状况发生重大变化而需要调整利润分配政策的，应以保护股东特别是中小股东的权益为出发点，且调整后的利润分配政策应当符合相关法律法规、规范性文件及《公司章程》的相关规定，履行相应的决策程序，并经出席股东大会的股东所持表决权的</w:t>
      </w:r>
      <w:r>
        <w:rPr>
          <w:rFonts w:ascii="Times New Roman" w:eastAsia="楷体" w:hint="eastAsia"/>
          <w:kern w:val="2"/>
          <w:sz w:val="24"/>
          <w:szCs w:val="24"/>
        </w:rPr>
        <w:t>2/3</w:t>
      </w:r>
      <w:r>
        <w:rPr>
          <w:rFonts w:ascii="Times New Roman" w:eastAsia="楷体" w:hint="eastAsia"/>
          <w:kern w:val="2"/>
          <w:sz w:val="24"/>
          <w:szCs w:val="24"/>
        </w:rPr>
        <w:t>以上通过。</w:t>
      </w:r>
    </w:p>
    <w:p w:rsidR="0058160C" w:rsidRDefault="0058160C" w:rsidP="0058160C">
      <w:pPr>
        <w:autoSpaceDE/>
        <w:autoSpaceDN/>
        <w:adjustRightInd/>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（六）存在公司股东违规占用公司资金的，公司应当在利润分配时扣减该股东可分配的现金红利，以偿还其占用的公司资金。</w:t>
      </w:r>
    </w:p>
    <w:p w:rsidR="0058160C" w:rsidRDefault="0058160C" w:rsidP="0058160C">
      <w:pPr>
        <w:autoSpaceDE/>
        <w:autoSpaceDN/>
        <w:adjustRightInd/>
        <w:snapToGrid w:val="0"/>
        <w:spacing w:line="360" w:lineRule="auto"/>
        <w:ind w:firstLineChars="200" w:firstLine="482"/>
        <w:jc w:val="both"/>
        <w:rPr>
          <w:rFonts w:ascii="Times New Roman" w:eastAsia="楷体"/>
          <w:b/>
          <w:kern w:val="2"/>
          <w:sz w:val="24"/>
          <w:szCs w:val="24"/>
        </w:rPr>
      </w:pPr>
      <w:bookmarkStart w:id="14" w:name="_Toc518935726"/>
      <w:bookmarkStart w:id="15" w:name="_Toc519006232"/>
      <w:bookmarkStart w:id="16" w:name="_Toc520226132"/>
      <w:r>
        <w:rPr>
          <w:rFonts w:ascii="Times New Roman" w:eastAsia="楷体" w:hint="eastAsia"/>
          <w:b/>
          <w:kern w:val="2"/>
          <w:sz w:val="24"/>
          <w:szCs w:val="24"/>
        </w:rPr>
        <w:t>五、公司未分配利润的使用原则</w:t>
      </w:r>
      <w:bookmarkEnd w:id="14"/>
      <w:bookmarkEnd w:id="15"/>
      <w:bookmarkEnd w:id="16"/>
    </w:p>
    <w:p w:rsidR="0058160C" w:rsidRDefault="0058160C" w:rsidP="0058160C">
      <w:pPr>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公司留存的未分配利润主要用于补充公司流动资金，在扩大现有业务规模的同时，积极拓展新的项目，促进公司持续发展，最终实现股东利益最大化。</w:t>
      </w:r>
    </w:p>
    <w:p w:rsidR="0058160C" w:rsidRPr="00287EC5" w:rsidRDefault="0058160C" w:rsidP="0058160C">
      <w:pPr>
        <w:snapToGrid w:val="0"/>
        <w:spacing w:line="360" w:lineRule="auto"/>
        <w:ind w:firstLineChars="200" w:firstLine="482"/>
        <w:jc w:val="both"/>
        <w:rPr>
          <w:rFonts w:ascii="Times New Roman" w:eastAsia="楷体"/>
          <w:b/>
          <w:kern w:val="2"/>
          <w:sz w:val="24"/>
          <w:szCs w:val="24"/>
        </w:rPr>
      </w:pPr>
      <w:r w:rsidRPr="00287EC5">
        <w:rPr>
          <w:rFonts w:ascii="Times New Roman" w:eastAsia="楷体" w:hint="eastAsia"/>
          <w:b/>
          <w:kern w:val="2"/>
          <w:sz w:val="24"/>
          <w:szCs w:val="24"/>
        </w:rPr>
        <w:t>六</w:t>
      </w:r>
      <w:r w:rsidRPr="00287EC5">
        <w:rPr>
          <w:rFonts w:ascii="Times New Roman" w:eastAsia="楷体"/>
          <w:b/>
          <w:kern w:val="2"/>
          <w:sz w:val="24"/>
          <w:szCs w:val="24"/>
        </w:rPr>
        <w:t>、</w:t>
      </w:r>
      <w:r w:rsidRPr="00287EC5">
        <w:rPr>
          <w:rFonts w:ascii="Times New Roman" w:eastAsia="楷体" w:hint="eastAsia"/>
          <w:b/>
          <w:kern w:val="2"/>
          <w:sz w:val="24"/>
          <w:szCs w:val="24"/>
        </w:rPr>
        <w:t>附则</w:t>
      </w:r>
    </w:p>
    <w:p w:rsidR="0058160C" w:rsidRDefault="0058160C" w:rsidP="0058160C">
      <w:pPr>
        <w:snapToGrid w:val="0"/>
        <w:spacing w:line="360" w:lineRule="auto"/>
        <w:ind w:firstLineChars="200" w:firstLine="480"/>
        <w:jc w:val="both"/>
        <w:rPr>
          <w:rFonts w:ascii="Times New Roman" w:eastAsia="楷体"/>
          <w:kern w:val="2"/>
          <w:sz w:val="24"/>
          <w:szCs w:val="24"/>
        </w:rPr>
      </w:pPr>
      <w:r>
        <w:rPr>
          <w:rFonts w:ascii="Times New Roman" w:eastAsia="楷体" w:hint="eastAsia"/>
          <w:kern w:val="2"/>
          <w:sz w:val="24"/>
          <w:szCs w:val="24"/>
        </w:rPr>
        <w:t>本</w:t>
      </w:r>
      <w:r>
        <w:rPr>
          <w:rFonts w:ascii="Times New Roman" w:eastAsia="楷体"/>
          <w:kern w:val="2"/>
          <w:sz w:val="24"/>
          <w:szCs w:val="24"/>
        </w:rPr>
        <w:t>规划未尽事宜，依照相关法律法规、规范性文件及《</w:t>
      </w:r>
      <w:r>
        <w:rPr>
          <w:rFonts w:ascii="Times New Roman" w:eastAsia="楷体" w:hint="eastAsia"/>
          <w:kern w:val="2"/>
          <w:sz w:val="24"/>
          <w:szCs w:val="24"/>
        </w:rPr>
        <w:t>公司</w:t>
      </w:r>
      <w:r>
        <w:rPr>
          <w:rFonts w:ascii="Times New Roman" w:eastAsia="楷体"/>
          <w:kern w:val="2"/>
          <w:sz w:val="24"/>
          <w:szCs w:val="24"/>
        </w:rPr>
        <w:t>章程》</w:t>
      </w:r>
      <w:r>
        <w:rPr>
          <w:rFonts w:ascii="Times New Roman" w:eastAsia="楷体" w:hint="eastAsia"/>
          <w:kern w:val="2"/>
          <w:sz w:val="24"/>
          <w:szCs w:val="24"/>
        </w:rPr>
        <w:t>规定</w:t>
      </w:r>
      <w:r>
        <w:rPr>
          <w:rFonts w:ascii="Times New Roman" w:eastAsia="楷体"/>
          <w:kern w:val="2"/>
          <w:sz w:val="24"/>
          <w:szCs w:val="24"/>
        </w:rPr>
        <w:t>执行。本</w:t>
      </w:r>
      <w:r>
        <w:rPr>
          <w:rFonts w:ascii="Times New Roman" w:eastAsia="楷体" w:hint="eastAsia"/>
          <w:kern w:val="2"/>
          <w:sz w:val="24"/>
          <w:szCs w:val="24"/>
        </w:rPr>
        <w:t>规划</w:t>
      </w:r>
      <w:r>
        <w:rPr>
          <w:rFonts w:ascii="Times New Roman" w:eastAsia="楷体"/>
          <w:kern w:val="2"/>
          <w:sz w:val="24"/>
          <w:szCs w:val="24"/>
        </w:rPr>
        <w:t>由公司董事会负责解释，自公司股东大会审议通过之日起实施</w:t>
      </w:r>
      <w:r>
        <w:rPr>
          <w:rFonts w:ascii="Times New Roman" w:eastAsia="楷体" w:hint="eastAsia"/>
          <w:kern w:val="2"/>
          <w:sz w:val="24"/>
          <w:szCs w:val="24"/>
        </w:rPr>
        <w:t>，</w:t>
      </w:r>
      <w:r>
        <w:rPr>
          <w:rFonts w:ascii="Times New Roman" w:eastAsia="楷体"/>
          <w:kern w:val="2"/>
          <w:sz w:val="24"/>
          <w:szCs w:val="24"/>
        </w:rPr>
        <w:t>修订时亦同。</w:t>
      </w:r>
    </w:p>
    <w:p w:rsidR="00327DE3" w:rsidRPr="0058160C" w:rsidRDefault="00327DE3"/>
    <w:sectPr w:rsidR="00327DE3" w:rsidRPr="005816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95" w:rsidRDefault="00144595" w:rsidP="0058160C">
      <w:r>
        <w:separator/>
      </w:r>
    </w:p>
  </w:endnote>
  <w:endnote w:type="continuationSeparator" w:id="0">
    <w:p w:rsidR="00144595" w:rsidRDefault="00144595" w:rsidP="005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95" w:rsidRDefault="00144595" w:rsidP="0058160C">
      <w:r>
        <w:separator/>
      </w:r>
    </w:p>
  </w:footnote>
  <w:footnote w:type="continuationSeparator" w:id="0">
    <w:p w:rsidR="00144595" w:rsidRDefault="00144595" w:rsidP="0058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9D"/>
    <w:rsid w:val="0002558B"/>
    <w:rsid w:val="000339F7"/>
    <w:rsid w:val="000560F9"/>
    <w:rsid w:val="00062979"/>
    <w:rsid w:val="000636EC"/>
    <w:rsid w:val="000A5476"/>
    <w:rsid w:val="000A6530"/>
    <w:rsid w:val="000A6C53"/>
    <w:rsid w:val="000E3437"/>
    <w:rsid w:val="000E4E2E"/>
    <w:rsid w:val="00144595"/>
    <w:rsid w:val="00175BBF"/>
    <w:rsid w:val="00183D61"/>
    <w:rsid w:val="001A70A9"/>
    <w:rsid w:val="001C235C"/>
    <w:rsid w:val="00200046"/>
    <w:rsid w:val="0021403D"/>
    <w:rsid w:val="00234911"/>
    <w:rsid w:val="002959E3"/>
    <w:rsid w:val="002C3B1A"/>
    <w:rsid w:val="002D61BD"/>
    <w:rsid w:val="003159ED"/>
    <w:rsid w:val="00322967"/>
    <w:rsid w:val="00325B20"/>
    <w:rsid w:val="003260DE"/>
    <w:rsid w:val="00327DE3"/>
    <w:rsid w:val="003414E9"/>
    <w:rsid w:val="00364536"/>
    <w:rsid w:val="003846C5"/>
    <w:rsid w:val="003C46D2"/>
    <w:rsid w:val="003E330C"/>
    <w:rsid w:val="00400A78"/>
    <w:rsid w:val="00421131"/>
    <w:rsid w:val="004320D9"/>
    <w:rsid w:val="004417BC"/>
    <w:rsid w:val="004664E7"/>
    <w:rsid w:val="004870F1"/>
    <w:rsid w:val="00491832"/>
    <w:rsid w:val="004A13A1"/>
    <w:rsid w:val="004A27F4"/>
    <w:rsid w:val="004F0AB3"/>
    <w:rsid w:val="0050750E"/>
    <w:rsid w:val="00510AAC"/>
    <w:rsid w:val="00532468"/>
    <w:rsid w:val="005501A7"/>
    <w:rsid w:val="00553449"/>
    <w:rsid w:val="00576E35"/>
    <w:rsid w:val="0058160C"/>
    <w:rsid w:val="005941F5"/>
    <w:rsid w:val="00595837"/>
    <w:rsid w:val="00597447"/>
    <w:rsid w:val="005B33DC"/>
    <w:rsid w:val="005D5829"/>
    <w:rsid w:val="005E44B3"/>
    <w:rsid w:val="00615F16"/>
    <w:rsid w:val="00631C9D"/>
    <w:rsid w:val="00636F47"/>
    <w:rsid w:val="00641F39"/>
    <w:rsid w:val="00644114"/>
    <w:rsid w:val="00666946"/>
    <w:rsid w:val="00675C7D"/>
    <w:rsid w:val="00686024"/>
    <w:rsid w:val="006862BD"/>
    <w:rsid w:val="00695B6F"/>
    <w:rsid w:val="006D0F00"/>
    <w:rsid w:val="006E6145"/>
    <w:rsid w:val="007200CA"/>
    <w:rsid w:val="00753F0B"/>
    <w:rsid w:val="00760C1D"/>
    <w:rsid w:val="00774D03"/>
    <w:rsid w:val="007B1BD4"/>
    <w:rsid w:val="007B5D0E"/>
    <w:rsid w:val="007C3325"/>
    <w:rsid w:val="00833948"/>
    <w:rsid w:val="00844C6C"/>
    <w:rsid w:val="0085245E"/>
    <w:rsid w:val="00886F9E"/>
    <w:rsid w:val="008A021D"/>
    <w:rsid w:val="008C7DE5"/>
    <w:rsid w:val="008F5A0A"/>
    <w:rsid w:val="00922F7F"/>
    <w:rsid w:val="00930FDF"/>
    <w:rsid w:val="00977DD0"/>
    <w:rsid w:val="00990F7D"/>
    <w:rsid w:val="009A02C2"/>
    <w:rsid w:val="009B0B96"/>
    <w:rsid w:val="009C0698"/>
    <w:rsid w:val="009D0B2A"/>
    <w:rsid w:val="009E7409"/>
    <w:rsid w:val="00A21A1C"/>
    <w:rsid w:val="00A45680"/>
    <w:rsid w:val="00A85F13"/>
    <w:rsid w:val="00A95241"/>
    <w:rsid w:val="00AC0569"/>
    <w:rsid w:val="00AE365F"/>
    <w:rsid w:val="00AF01FB"/>
    <w:rsid w:val="00B37639"/>
    <w:rsid w:val="00B76911"/>
    <w:rsid w:val="00BA4F08"/>
    <w:rsid w:val="00BD19F6"/>
    <w:rsid w:val="00BE7762"/>
    <w:rsid w:val="00BF3533"/>
    <w:rsid w:val="00C1366D"/>
    <w:rsid w:val="00C20460"/>
    <w:rsid w:val="00C74841"/>
    <w:rsid w:val="00C84ED1"/>
    <w:rsid w:val="00C85051"/>
    <w:rsid w:val="00C8521B"/>
    <w:rsid w:val="00C8605E"/>
    <w:rsid w:val="00C9093C"/>
    <w:rsid w:val="00CD6230"/>
    <w:rsid w:val="00CF7551"/>
    <w:rsid w:val="00D17B06"/>
    <w:rsid w:val="00D570BF"/>
    <w:rsid w:val="00D71F69"/>
    <w:rsid w:val="00D7316A"/>
    <w:rsid w:val="00D8405B"/>
    <w:rsid w:val="00DC5EE9"/>
    <w:rsid w:val="00DD3633"/>
    <w:rsid w:val="00DD4E91"/>
    <w:rsid w:val="00DD6DEE"/>
    <w:rsid w:val="00DE3BDA"/>
    <w:rsid w:val="00DF2CAA"/>
    <w:rsid w:val="00E4045A"/>
    <w:rsid w:val="00E453F0"/>
    <w:rsid w:val="00E776D7"/>
    <w:rsid w:val="00E912BC"/>
    <w:rsid w:val="00EA115B"/>
    <w:rsid w:val="00EA53B5"/>
    <w:rsid w:val="00EB6BC7"/>
    <w:rsid w:val="00F11D94"/>
    <w:rsid w:val="00F12B70"/>
    <w:rsid w:val="00F12FC3"/>
    <w:rsid w:val="00F15E7B"/>
    <w:rsid w:val="00F44289"/>
    <w:rsid w:val="00F573C6"/>
    <w:rsid w:val="00FD59A7"/>
    <w:rsid w:val="00FE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F94474-22D4-45DD-9A00-A89140C0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0C"/>
    <w:pPr>
      <w:widowControl w:val="0"/>
      <w:autoSpaceDE w:val="0"/>
      <w:autoSpaceDN w:val="0"/>
      <w:adjustRightInd w:val="0"/>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60C"/>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8160C"/>
    <w:rPr>
      <w:sz w:val="18"/>
      <w:szCs w:val="18"/>
    </w:rPr>
  </w:style>
  <w:style w:type="paragraph" w:styleId="a4">
    <w:name w:val="footer"/>
    <w:basedOn w:val="a"/>
    <w:link w:val="Char0"/>
    <w:uiPriority w:val="99"/>
    <w:unhideWhenUsed/>
    <w:rsid w:val="0058160C"/>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816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7</cp:revision>
  <dcterms:created xsi:type="dcterms:W3CDTF">2024-04-08T10:48:00Z</dcterms:created>
  <dcterms:modified xsi:type="dcterms:W3CDTF">2024-04-09T01:59:00Z</dcterms:modified>
</cp:coreProperties>
</file>